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43" w:rsidRDefault="00BA3F43" w:rsidP="00BA3F43">
      <w:pPr>
        <w:pStyle w:val="Intestazione"/>
        <w:pBdr>
          <w:bottom w:val="single" w:sz="4" w:space="1" w:color="auto"/>
        </w:pBdr>
      </w:pPr>
      <w:r>
        <w:rPr>
          <w:b/>
        </w:rPr>
        <w:t>Comune di</w:t>
      </w:r>
      <w:r>
        <w:tab/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885BE5" w:rsidRPr="00BA3F43" w:rsidRDefault="00885BE5" w:rsidP="00885BE5">
      <w:pPr>
        <w:jc w:val="center"/>
        <w:rPr>
          <w:rFonts w:asciiTheme="minorHAnsi" w:hAnsiTheme="minorHAnsi"/>
          <w:b/>
        </w:rPr>
      </w:pPr>
    </w:p>
    <w:p w:rsidR="00B8436D" w:rsidRDefault="00885BE5" w:rsidP="00BA3F43">
      <w:pPr>
        <w:jc w:val="center"/>
        <w:rPr>
          <w:rFonts w:asciiTheme="minorHAnsi" w:hAnsiTheme="minorHAnsi"/>
          <w:b/>
        </w:rPr>
      </w:pPr>
      <w:r w:rsidRPr="00BA3F43">
        <w:rPr>
          <w:rFonts w:asciiTheme="minorHAnsi" w:hAnsiTheme="minorHAnsi"/>
          <w:b/>
        </w:rPr>
        <w:t xml:space="preserve">PROCEDURA PER ATTRIBUZIONE PROGRESSIONI ECONOMICHE ORIZZONTALI </w:t>
      </w:r>
    </w:p>
    <w:p w:rsidR="00885BE5" w:rsidRPr="00BA3F43" w:rsidRDefault="00885BE5" w:rsidP="00885BE5">
      <w:pPr>
        <w:pStyle w:val="Titolo1"/>
        <w:rPr>
          <w:rFonts w:asciiTheme="minorHAnsi" w:hAnsiTheme="minorHAnsi"/>
          <w:sz w:val="24"/>
          <w:szCs w:val="24"/>
        </w:rPr>
      </w:pPr>
      <w:bookmarkStart w:id="1" w:name="_Toc528097868"/>
      <w:r w:rsidRPr="00BA3F43">
        <w:rPr>
          <w:rFonts w:asciiTheme="minorHAnsi" w:hAnsiTheme="minorHAnsi"/>
          <w:sz w:val="24"/>
          <w:szCs w:val="24"/>
        </w:rPr>
        <w:t>ATTRIBUZIONE PROGRESSIONI ECONOMICHE ORIZZONTALI</w:t>
      </w:r>
      <w:bookmarkEnd w:id="1"/>
    </w:p>
    <w:p w:rsidR="00885BE5" w:rsidRPr="00BA3F43" w:rsidRDefault="00885BE5" w:rsidP="00885BE5">
      <w:pPr>
        <w:pStyle w:val="Corpotesto"/>
        <w:rPr>
          <w:rFonts w:asciiTheme="minorHAnsi" w:hAnsiTheme="minorHAnsi"/>
        </w:rPr>
      </w:pPr>
      <w:r w:rsidRPr="00BA3F43">
        <w:rPr>
          <w:rFonts w:asciiTheme="minorHAnsi" w:hAnsiTheme="minorHAnsi"/>
        </w:rPr>
        <w:t>Le progressioni economiche orizzontali avvengono, come prescritto dall’art. 52 del Dlgs.165/2001, secondo principi di selettività, in funzione delle qualità culturali e professionali, dell'attività svolta e dei risultati conseguiti, attraverso l'attribuzione di fasce di merito. Si sviluppano, partendo dal trattamento tabellare iniziale, con l’acquisizione in sequenza degli incrementi corrispondenti alle posizioni successive previste dal C</w:t>
      </w:r>
      <w:r w:rsidR="00BA3F43">
        <w:rPr>
          <w:rFonts w:asciiTheme="minorHAnsi" w:hAnsiTheme="minorHAnsi"/>
        </w:rPr>
        <w:t>.</w:t>
      </w:r>
      <w:r w:rsidRPr="00BA3F43">
        <w:rPr>
          <w:rFonts w:asciiTheme="minorHAnsi" w:hAnsiTheme="minorHAnsi"/>
        </w:rPr>
        <w:t>C</w:t>
      </w:r>
      <w:r w:rsidR="00BA3F43">
        <w:rPr>
          <w:rFonts w:asciiTheme="minorHAnsi" w:hAnsiTheme="minorHAnsi"/>
        </w:rPr>
        <w:t>.</w:t>
      </w:r>
      <w:r w:rsidRPr="00BA3F43">
        <w:rPr>
          <w:rFonts w:asciiTheme="minorHAnsi" w:hAnsiTheme="minorHAnsi"/>
        </w:rPr>
        <w:t>N</w:t>
      </w:r>
      <w:r w:rsidR="00BA3F43">
        <w:rPr>
          <w:rFonts w:asciiTheme="minorHAnsi" w:hAnsiTheme="minorHAnsi"/>
        </w:rPr>
        <w:t>.</w:t>
      </w:r>
      <w:r w:rsidRPr="00BA3F43">
        <w:rPr>
          <w:rFonts w:asciiTheme="minorHAnsi" w:hAnsiTheme="minorHAnsi"/>
        </w:rPr>
        <w:t>L.</w:t>
      </w:r>
    </w:p>
    <w:p w:rsidR="00885BE5" w:rsidRPr="00BA3F43" w:rsidRDefault="00885BE5" w:rsidP="00885BE5">
      <w:pPr>
        <w:pStyle w:val="Corpotesto"/>
        <w:rPr>
          <w:rFonts w:asciiTheme="minorHAnsi" w:hAnsiTheme="minorHAnsi"/>
        </w:rPr>
      </w:pPr>
      <w:r w:rsidRPr="00BA3F43">
        <w:rPr>
          <w:rFonts w:asciiTheme="minorHAnsi" w:hAnsiTheme="minorHAnsi"/>
        </w:rPr>
        <w:t>Nel C</w:t>
      </w:r>
      <w:r w:rsidR="00BA3F43">
        <w:rPr>
          <w:rFonts w:asciiTheme="minorHAnsi" w:hAnsiTheme="minorHAnsi"/>
        </w:rPr>
        <w:t>.</w:t>
      </w:r>
      <w:r w:rsidRPr="00BA3F43">
        <w:rPr>
          <w:rFonts w:asciiTheme="minorHAnsi" w:hAnsiTheme="minorHAnsi"/>
        </w:rPr>
        <w:t>C</w:t>
      </w:r>
      <w:r w:rsidR="00BA3F43">
        <w:rPr>
          <w:rFonts w:asciiTheme="minorHAnsi" w:hAnsiTheme="minorHAnsi"/>
        </w:rPr>
        <w:t>.</w:t>
      </w:r>
      <w:r w:rsidRPr="00BA3F43">
        <w:rPr>
          <w:rFonts w:asciiTheme="minorHAnsi" w:hAnsiTheme="minorHAnsi"/>
        </w:rPr>
        <w:t>I</w:t>
      </w:r>
      <w:r w:rsidR="00BA3F43">
        <w:rPr>
          <w:rFonts w:asciiTheme="minorHAnsi" w:hAnsiTheme="minorHAnsi"/>
        </w:rPr>
        <w:t>.</w:t>
      </w:r>
      <w:r w:rsidRPr="00BA3F43">
        <w:rPr>
          <w:rFonts w:asciiTheme="minorHAnsi" w:hAnsiTheme="minorHAnsi"/>
        </w:rPr>
        <w:t xml:space="preserve"> in sede di ripartizione del fondo, si provvede al finanziamento delle nuove progressioni economiche, nel rispetto dei vincoli e degli importi ivi definiti.</w:t>
      </w:r>
    </w:p>
    <w:p w:rsidR="00885BE5" w:rsidRPr="00BA3F43" w:rsidRDefault="00885BE5" w:rsidP="00885BE5">
      <w:pPr>
        <w:pStyle w:val="Titolo2"/>
        <w:rPr>
          <w:rFonts w:asciiTheme="minorHAnsi" w:hAnsiTheme="minorHAnsi"/>
          <w:sz w:val="24"/>
          <w:szCs w:val="24"/>
        </w:rPr>
      </w:pPr>
      <w:bookmarkStart w:id="2" w:name="_Toc528097869"/>
      <w:r w:rsidRPr="00BA3F43">
        <w:rPr>
          <w:rFonts w:asciiTheme="minorHAnsi" w:hAnsiTheme="minorHAnsi"/>
          <w:sz w:val="24"/>
          <w:szCs w:val="24"/>
        </w:rPr>
        <w:t>1. I REQUISITI DI AMMISSIONE</w:t>
      </w:r>
      <w:bookmarkEnd w:id="2"/>
    </w:p>
    <w:p w:rsidR="00885BE5" w:rsidRPr="00BA3F43" w:rsidRDefault="00885BE5" w:rsidP="00885BE5">
      <w:pPr>
        <w:jc w:val="both"/>
        <w:rPr>
          <w:rFonts w:asciiTheme="minorHAnsi" w:eastAsia="Times New Roman" w:hAnsiTheme="minorHAnsi"/>
          <w:bCs/>
        </w:rPr>
      </w:pPr>
      <w:r w:rsidRPr="00BA3F43">
        <w:rPr>
          <w:rFonts w:asciiTheme="minorHAnsi" w:eastAsia="Times New Roman" w:hAnsiTheme="minorHAnsi"/>
          <w:bCs/>
        </w:rPr>
        <w:t>1. Possono partecipare alle selezioni per le progressioni economiche i dipendenti in servizio a tempo indeterminato nell’ente al 31 dicembre dell’anno immediatamente precedente a quello della selezione.</w:t>
      </w:r>
    </w:p>
    <w:p w:rsidR="00885BE5" w:rsidRPr="00BA3F43" w:rsidRDefault="00885BE5" w:rsidP="00885BE5">
      <w:pPr>
        <w:jc w:val="both"/>
        <w:rPr>
          <w:rFonts w:asciiTheme="minorHAnsi" w:eastAsia="Times New Roman" w:hAnsiTheme="minorHAnsi"/>
          <w:bCs/>
        </w:rPr>
      </w:pPr>
    </w:p>
    <w:p w:rsidR="00885BE5" w:rsidRDefault="00885BE5" w:rsidP="00986ED9">
      <w:pPr>
        <w:jc w:val="both"/>
        <w:rPr>
          <w:rFonts w:asciiTheme="minorHAnsi" w:eastAsia="Times New Roman" w:hAnsiTheme="minorHAnsi"/>
          <w:bCs/>
        </w:rPr>
      </w:pPr>
      <w:r w:rsidRPr="00986ED9">
        <w:rPr>
          <w:rFonts w:asciiTheme="minorHAnsi" w:eastAsia="Times New Roman" w:hAnsiTheme="minorHAnsi"/>
          <w:bCs/>
          <w:highlight w:val="yellow"/>
        </w:rPr>
        <w:t xml:space="preserve">2. Per potere partecipare a tali selezioni occorre avere maturato alla data del 31 dicembre dell’anno precedente a quello della selezione l’anzianità minima </w:t>
      </w:r>
      <w:r w:rsidR="00986ED9" w:rsidRPr="00986ED9">
        <w:rPr>
          <w:rFonts w:asciiTheme="minorHAnsi" w:eastAsia="Times New Roman" w:hAnsiTheme="minorHAnsi"/>
          <w:bCs/>
          <w:highlight w:val="yellow"/>
        </w:rPr>
        <w:t xml:space="preserve">di due anni </w:t>
      </w:r>
      <w:r w:rsidRPr="00986ED9">
        <w:rPr>
          <w:rFonts w:asciiTheme="minorHAnsi" w:eastAsia="Times New Roman" w:hAnsiTheme="minorHAnsi"/>
          <w:bCs/>
          <w:highlight w:val="yellow"/>
        </w:rPr>
        <w:t>nella posizione economica inferiore</w:t>
      </w:r>
      <w:r w:rsidR="00986ED9" w:rsidRPr="00986ED9">
        <w:rPr>
          <w:rFonts w:asciiTheme="minorHAnsi" w:eastAsia="Times New Roman" w:hAnsiTheme="minorHAnsi"/>
          <w:bCs/>
          <w:highlight w:val="yellow"/>
        </w:rPr>
        <w:t>.</w:t>
      </w:r>
    </w:p>
    <w:p w:rsidR="00986ED9" w:rsidRPr="00BA3F43" w:rsidRDefault="00986ED9" w:rsidP="00986ED9">
      <w:pPr>
        <w:jc w:val="both"/>
        <w:rPr>
          <w:rFonts w:asciiTheme="minorHAnsi" w:hAnsiTheme="minorHAnsi"/>
        </w:rPr>
      </w:pPr>
    </w:p>
    <w:p w:rsidR="00885BE5" w:rsidRPr="00986ED9" w:rsidRDefault="00885BE5" w:rsidP="00885BE5">
      <w:pPr>
        <w:jc w:val="both"/>
        <w:rPr>
          <w:rFonts w:asciiTheme="minorHAnsi" w:hAnsiTheme="minorHAnsi"/>
          <w:i/>
        </w:rPr>
      </w:pPr>
      <w:r w:rsidRPr="00BA3F43">
        <w:rPr>
          <w:rFonts w:asciiTheme="minorHAnsi" w:hAnsiTheme="minorHAnsi"/>
        </w:rPr>
        <w:t xml:space="preserve">3. Non possono essere ammessi alla selezione i dipendenti che nell’ultimo triennio non </w:t>
      </w:r>
      <w:r w:rsidR="00986ED9">
        <w:rPr>
          <w:rFonts w:asciiTheme="minorHAnsi" w:hAnsiTheme="minorHAnsi"/>
        </w:rPr>
        <w:t>abbiano</w:t>
      </w:r>
      <w:r w:rsidRPr="00BA3F43">
        <w:rPr>
          <w:rFonts w:asciiTheme="minorHAnsi" w:hAnsiTheme="minorHAnsi"/>
        </w:rPr>
        <w:t xml:space="preserve"> ottenuto almeno la media </w:t>
      </w:r>
      <w:r w:rsidRPr="00BA3F43">
        <w:rPr>
          <w:rFonts w:asciiTheme="minorHAnsi" w:hAnsiTheme="minorHAnsi"/>
          <w:i/>
        </w:rPr>
        <w:t xml:space="preserve">di </w:t>
      </w:r>
      <w:r w:rsidR="00986ED9">
        <w:rPr>
          <w:rFonts w:asciiTheme="minorHAnsi" w:hAnsiTheme="minorHAnsi"/>
          <w:i/>
        </w:rPr>
        <w:t>15</w:t>
      </w:r>
      <w:r w:rsidRPr="00BA3F43">
        <w:rPr>
          <w:rFonts w:asciiTheme="minorHAnsi" w:hAnsiTheme="minorHAnsi"/>
          <w:i/>
        </w:rPr>
        <w:t>/</w:t>
      </w:r>
      <w:r w:rsidR="00986ED9">
        <w:rPr>
          <w:rFonts w:asciiTheme="minorHAnsi" w:hAnsiTheme="minorHAnsi"/>
          <w:i/>
        </w:rPr>
        <w:t>20,</w:t>
      </w:r>
      <w:r w:rsidRPr="00BA3F43">
        <w:rPr>
          <w:rFonts w:asciiTheme="minorHAnsi" w:hAnsiTheme="minorHAnsi"/>
          <w:i/>
        </w:rPr>
        <w:t xml:space="preserve"> del punteggio di valutazione</w:t>
      </w:r>
      <w:r w:rsidR="00986ED9">
        <w:rPr>
          <w:rFonts w:asciiTheme="minorHAnsi" w:hAnsiTheme="minorHAnsi"/>
          <w:i/>
        </w:rPr>
        <w:t>, avendo cura, se necessario, di esprimere i punteggi precedenti con riferimento alla stessa scala.</w:t>
      </w:r>
    </w:p>
    <w:p w:rsidR="00885BE5" w:rsidRPr="00BA3F43" w:rsidRDefault="00885BE5" w:rsidP="00885BE5">
      <w:pPr>
        <w:jc w:val="both"/>
        <w:rPr>
          <w:rFonts w:asciiTheme="minorHAnsi" w:hAnsiTheme="minorHAnsi"/>
        </w:rPr>
      </w:pPr>
    </w:p>
    <w:p w:rsidR="00885BE5" w:rsidRPr="00BA3F43" w:rsidRDefault="00885BE5" w:rsidP="00885BE5">
      <w:pPr>
        <w:jc w:val="both"/>
        <w:rPr>
          <w:rFonts w:asciiTheme="minorHAnsi" w:hAnsiTheme="minorHAnsi"/>
        </w:rPr>
      </w:pPr>
      <w:r w:rsidRPr="00BA3F43">
        <w:rPr>
          <w:rFonts w:asciiTheme="minorHAnsi" w:hAnsiTheme="minorHAnsi"/>
        </w:rPr>
        <w:t>4. Sono introdotte delle penalizzazioni in caso di sanzioni disciplinari irrogate nell’ultimo biennio e delle premialità in termini di decurtazione del periodo di anzianità minima necessaria per accedere alla posizione superiore, in caso di punteggio positivo nella scheda di valutazione.</w:t>
      </w:r>
    </w:p>
    <w:p w:rsidR="00885BE5" w:rsidRPr="00BA3F43" w:rsidRDefault="00885BE5" w:rsidP="00885BE5">
      <w:pPr>
        <w:jc w:val="both"/>
        <w:rPr>
          <w:rFonts w:asciiTheme="minorHAnsi" w:hAnsiTheme="minorHAnsi"/>
        </w:rPr>
      </w:pPr>
    </w:p>
    <w:p w:rsidR="00885BE5" w:rsidRPr="00BA3F43" w:rsidRDefault="00885BE5" w:rsidP="00885BE5">
      <w:pPr>
        <w:jc w:val="both"/>
        <w:rPr>
          <w:rFonts w:asciiTheme="minorHAnsi" w:hAnsiTheme="minorHAnsi"/>
          <w:strike/>
        </w:rPr>
      </w:pPr>
      <w:r w:rsidRPr="00BA3F43">
        <w:rPr>
          <w:rFonts w:asciiTheme="minorHAnsi" w:hAnsiTheme="minorHAnsi"/>
        </w:rPr>
        <w:t xml:space="preserve">5. Si tiene conto della media dei punteggi attribuiti nelle schede di valutazione del triennio precedente a quello relativo all’anno in cui viene effettuata la valutazione. </w:t>
      </w:r>
    </w:p>
    <w:p w:rsidR="00885BE5" w:rsidRPr="00BA3F43" w:rsidRDefault="00885BE5" w:rsidP="00885BE5">
      <w:pPr>
        <w:pStyle w:val="Titolo4"/>
        <w:jc w:val="both"/>
        <w:rPr>
          <w:rFonts w:asciiTheme="minorHAnsi" w:hAnsiTheme="minorHAnsi"/>
          <w:i w:val="0"/>
          <w:color w:val="auto"/>
        </w:rPr>
      </w:pPr>
      <w:bookmarkStart w:id="3" w:name="_Toc528097870"/>
      <w:r w:rsidRPr="00BA3F43">
        <w:rPr>
          <w:rFonts w:asciiTheme="minorHAnsi" w:hAnsiTheme="minorHAnsi"/>
          <w:i w:val="0"/>
          <w:color w:val="auto"/>
        </w:rPr>
        <w:t>Penalizzazioni</w:t>
      </w:r>
      <w:bookmarkEnd w:id="3"/>
    </w:p>
    <w:p w:rsidR="00885BE5" w:rsidRPr="00BA3F43" w:rsidRDefault="00885BE5" w:rsidP="00885BE5">
      <w:pPr>
        <w:jc w:val="both"/>
        <w:rPr>
          <w:rFonts w:asciiTheme="minorHAnsi" w:hAnsiTheme="minorHAnsi"/>
        </w:rPr>
      </w:pPr>
      <w:r w:rsidRPr="00BA3F43">
        <w:rPr>
          <w:rFonts w:asciiTheme="minorHAnsi" w:hAnsiTheme="minorHAnsi"/>
        </w:rPr>
        <w:t xml:space="preserve"> Ai dipendenti cui è stata irrogata nei 2 anni precedenti la indizione della selezione per le progressioni economiche una sanzione disciplinare </w:t>
      </w:r>
      <w:r w:rsidRPr="00D35852">
        <w:rPr>
          <w:rFonts w:asciiTheme="minorHAnsi" w:hAnsiTheme="minorHAnsi"/>
        </w:rPr>
        <w:t>superiore alla multa</w:t>
      </w:r>
      <w:r w:rsidRPr="00BA3F43">
        <w:rPr>
          <w:rFonts w:asciiTheme="minorHAnsi" w:hAnsiTheme="minorHAnsi"/>
        </w:rPr>
        <w:t xml:space="preserve"> non è consentito l’accesso alla selezione.</w:t>
      </w:r>
    </w:p>
    <w:p w:rsidR="00885BE5" w:rsidRPr="00BA3F43" w:rsidRDefault="00885BE5" w:rsidP="00885BE5">
      <w:pPr>
        <w:pStyle w:val="Titolo2"/>
        <w:rPr>
          <w:rFonts w:asciiTheme="minorHAnsi" w:hAnsiTheme="minorHAnsi"/>
          <w:sz w:val="24"/>
          <w:szCs w:val="24"/>
        </w:rPr>
      </w:pPr>
      <w:bookmarkStart w:id="4" w:name="_Toc528097872"/>
      <w:r w:rsidRPr="00BA3F43">
        <w:rPr>
          <w:rFonts w:asciiTheme="minorHAnsi" w:hAnsiTheme="minorHAnsi"/>
          <w:sz w:val="24"/>
          <w:szCs w:val="24"/>
        </w:rPr>
        <w:t>2. LA PROCEDURA</w:t>
      </w:r>
      <w:bookmarkEnd w:id="4"/>
    </w:p>
    <w:p w:rsidR="00885BE5" w:rsidRPr="00BA3F43" w:rsidRDefault="00885BE5" w:rsidP="00885BE5">
      <w:pPr>
        <w:jc w:val="both"/>
        <w:rPr>
          <w:rFonts w:asciiTheme="minorHAnsi" w:eastAsia="Times New Roman" w:hAnsiTheme="minorHAnsi"/>
          <w:bCs/>
        </w:rPr>
      </w:pPr>
      <w:r w:rsidRPr="00BA3F43">
        <w:rPr>
          <w:rFonts w:asciiTheme="minorHAnsi" w:eastAsia="Times New Roman" w:hAnsiTheme="minorHAnsi"/>
          <w:bCs/>
        </w:rPr>
        <w:t>1. Con de</w:t>
      </w:r>
      <w:r w:rsidR="00986ED9">
        <w:rPr>
          <w:rFonts w:asciiTheme="minorHAnsi" w:eastAsia="Times New Roman" w:hAnsiTheme="minorHAnsi"/>
          <w:bCs/>
        </w:rPr>
        <w:t xml:space="preserve">liberazione di Giunta comunale, a seguito dell’accertamento delle condizioni e dell’assenza di vincoli, </w:t>
      </w:r>
      <w:r w:rsidRPr="00BA3F43">
        <w:rPr>
          <w:rFonts w:asciiTheme="minorHAnsi" w:eastAsia="Times New Roman" w:hAnsiTheme="minorHAnsi"/>
          <w:bCs/>
        </w:rPr>
        <w:t xml:space="preserve">viene </w:t>
      </w:r>
      <w:r w:rsidR="00986ED9">
        <w:rPr>
          <w:rFonts w:asciiTheme="minorHAnsi" w:eastAsia="Times New Roman" w:hAnsiTheme="minorHAnsi"/>
          <w:bCs/>
        </w:rPr>
        <w:t xml:space="preserve">attivata </w:t>
      </w:r>
      <w:r w:rsidRPr="00BA3F43">
        <w:rPr>
          <w:rFonts w:asciiTheme="minorHAnsi" w:eastAsia="Times New Roman" w:hAnsiTheme="minorHAnsi"/>
          <w:bCs/>
        </w:rPr>
        <w:t>la procedura per l’attribuzione delle progressioni economiche</w:t>
      </w:r>
      <w:r w:rsidR="00535165">
        <w:rPr>
          <w:rFonts w:asciiTheme="minorHAnsi" w:eastAsia="Times New Roman" w:hAnsiTheme="minorHAnsi"/>
          <w:bCs/>
        </w:rPr>
        <w:t xml:space="preserve"> che viene coordinata dal segretario generale</w:t>
      </w:r>
      <w:r w:rsidRPr="00BA3F43">
        <w:rPr>
          <w:rFonts w:asciiTheme="minorHAnsi" w:eastAsia="Times New Roman" w:hAnsiTheme="minorHAnsi"/>
          <w:bCs/>
        </w:rPr>
        <w:t>.</w:t>
      </w:r>
    </w:p>
    <w:p w:rsidR="00535165" w:rsidRDefault="00535165" w:rsidP="00885BE5">
      <w:pPr>
        <w:pStyle w:val="Corpotes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2. Compete al segretario generale l’informazione sull’attivazione della procedura, nonché la fissazione di un termine, non inferiore a 15 giorni, per l’acquisizione di eventuali titoli aggiuntivi utili per la selezione.</w:t>
      </w:r>
    </w:p>
    <w:p w:rsidR="00885BE5" w:rsidRPr="00BA3F43" w:rsidRDefault="00535165" w:rsidP="00885BE5">
      <w:pPr>
        <w:pStyle w:val="Corpotesto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85BE5" w:rsidRPr="00BA3F4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Decorso il termine di cui al punto precedente, l</w:t>
      </w:r>
      <w:r w:rsidR="00885BE5" w:rsidRPr="00BA3F43">
        <w:rPr>
          <w:rFonts w:asciiTheme="minorHAnsi" w:hAnsiTheme="minorHAnsi"/>
        </w:rPr>
        <w:t>’Ufficio Personale forma la graduatoria per ogni categoria, indicando il punteggio complessivo sulla base della media delle valutazioni del triennio precedente</w:t>
      </w:r>
      <w:r>
        <w:rPr>
          <w:rFonts w:asciiTheme="minorHAnsi" w:hAnsiTheme="minorHAnsi"/>
        </w:rPr>
        <w:t xml:space="preserve"> ai fini della sottoposizione alla Conferenza dei responsabili valutatori.</w:t>
      </w:r>
    </w:p>
    <w:p w:rsidR="00885BE5" w:rsidRPr="00BA3F43" w:rsidRDefault="00885BE5" w:rsidP="00885BE5">
      <w:pPr>
        <w:pStyle w:val="Corpotesto"/>
        <w:rPr>
          <w:rFonts w:asciiTheme="minorHAnsi" w:hAnsiTheme="minorHAnsi"/>
        </w:rPr>
      </w:pPr>
      <w:r w:rsidRPr="00BA3F43">
        <w:rPr>
          <w:rFonts w:asciiTheme="minorHAnsi" w:hAnsiTheme="minorHAnsi"/>
        </w:rPr>
        <w:t>5. La Conferenza dei Responsabili valutatori, presieduta dal Segretario, si riunisce per accertare la presenza di esperienze maturate e competenze acquisite significative o molto significative per l’assegnazione del punteggio integrativo, sulla base dei fattori indicati al paragrafo successivo. Può disporre audizioni del personale interessato.</w:t>
      </w:r>
    </w:p>
    <w:p w:rsidR="00885BE5" w:rsidRPr="00BA3F43" w:rsidRDefault="00885BE5" w:rsidP="00885BE5">
      <w:pPr>
        <w:pStyle w:val="Corpotesto"/>
        <w:rPr>
          <w:rFonts w:asciiTheme="minorHAnsi" w:hAnsiTheme="minorHAnsi"/>
        </w:rPr>
      </w:pPr>
      <w:r w:rsidRPr="00BA3F43">
        <w:rPr>
          <w:rFonts w:asciiTheme="minorHAnsi" w:hAnsiTheme="minorHAnsi"/>
        </w:rPr>
        <w:t xml:space="preserve">6. I componenti della conferenza sono tenuti ad astenersi allorché sono valutate le proprie esperienze e competenze.  </w:t>
      </w:r>
    </w:p>
    <w:p w:rsidR="00885BE5" w:rsidRPr="00BA3F43" w:rsidRDefault="00885BE5" w:rsidP="00885BE5">
      <w:pPr>
        <w:pStyle w:val="Corpotesto"/>
        <w:rPr>
          <w:rFonts w:asciiTheme="minorHAnsi" w:hAnsiTheme="minorHAnsi"/>
        </w:rPr>
      </w:pPr>
      <w:r w:rsidRPr="00BA3F43">
        <w:rPr>
          <w:rFonts w:asciiTheme="minorHAnsi" w:hAnsiTheme="minorHAnsi"/>
        </w:rPr>
        <w:t>7. A parità di punteggio viene data la precedenza al dipendente che, nel periodo di riferimento, ha conseguito la valutazione media più elevata; in subordine, verrà data priorità a chi può conseguire il passaggio dalla prima alla seconda posizione economica, dalla seconda alla terza e così di seguito; in subordine al più anziano di età in base al servizio prestato nell’ente.</w:t>
      </w:r>
    </w:p>
    <w:p w:rsidR="00885BE5" w:rsidRPr="00BA3F43" w:rsidRDefault="00885BE5" w:rsidP="00885BE5">
      <w:pPr>
        <w:pStyle w:val="Corpotesto"/>
        <w:rPr>
          <w:rFonts w:asciiTheme="minorHAnsi" w:hAnsiTheme="minorHAnsi"/>
          <w:i/>
        </w:rPr>
      </w:pPr>
      <w:r w:rsidRPr="00BA3F43">
        <w:rPr>
          <w:rFonts w:asciiTheme="minorHAnsi" w:hAnsiTheme="minorHAnsi"/>
        </w:rPr>
        <w:t xml:space="preserve">8. Possono essere beneficiari delle progressioni economiche </w:t>
      </w:r>
      <w:r w:rsidR="00535165">
        <w:rPr>
          <w:rFonts w:asciiTheme="minorHAnsi" w:hAnsiTheme="minorHAnsi"/>
        </w:rPr>
        <w:t xml:space="preserve">i dipendenti che rientrino nel numero e nella categoria, così come definite in sede di contrattazione, </w:t>
      </w:r>
      <w:r w:rsidRPr="00BA3F43">
        <w:rPr>
          <w:rFonts w:asciiTheme="minorHAnsi" w:hAnsiTheme="minorHAnsi"/>
        </w:rPr>
        <w:t>garantendo</w:t>
      </w:r>
      <w:r w:rsidR="00535165">
        <w:rPr>
          <w:rFonts w:asciiTheme="minorHAnsi" w:hAnsiTheme="minorHAnsi"/>
        </w:rPr>
        <w:t>, possibilmente,</w:t>
      </w:r>
      <w:r w:rsidRPr="00BA3F43">
        <w:rPr>
          <w:rFonts w:asciiTheme="minorHAnsi" w:hAnsiTheme="minorHAnsi"/>
        </w:rPr>
        <w:t xml:space="preserve"> comunque almeno una progressione per ciascuna categoria</w:t>
      </w:r>
      <w:proofErr w:type="gramStart"/>
      <w:r w:rsidR="00535165">
        <w:rPr>
          <w:rFonts w:asciiTheme="minorHAnsi" w:hAnsiTheme="minorHAnsi"/>
        </w:rPr>
        <w:t xml:space="preserve">  </w:t>
      </w:r>
      <w:r w:rsidRPr="00BA3F43">
        <w:rPr>
          <w:rFonts w:asciiTheme="minorHAnsi" w:hAnsiTheme="minorHAnsi"/>
        </w:rPr>
        <w:t xml:space="preserve"> (</w:t>
      </w:r>
      <w:proofErr w:type="gramEnd"/>
      <w:r w:rsidRPr="00BA3F43">
        <w:rPr>
          <w:rFonts w:asciiTheme="minorHAnsi" w:hAnsiTheme="minorHAnsi"/>
          <w:i/>
        </w:rPr>
        <w:t>tra quelle interessate dalla PEO ed individuate nel C</w:t>
      </w:r>
      <w:r w:rsidR="00BA3F43">
        <w:rPr>
          <w:rFonts w:asciiTheme="minorHAnsi" w:hAnsiTheme="minorHAnsi"/>
          <w:i/>
        </w:rPr>
        <w:t>.</w:t>
      </w:r>
      <w:r w:rsidRPr="00BA3F43">
        <w:rPr>
          <w:rFonts w:asciiTheme="minorHAnsi" w:hAnsiTheme="minorHAnsi"/>
          <w:i/>
        </w:rPr>
        <w:t>C</w:t>
      </w:r>
      <w:r w:rsidR="00BA3F43">
        <w:rPr>
          <w:rFonts w:asciiTheme="minorHAnsi" w:hAnsiTheme="minorHAnsi"/>
          <w:i/>
        </w:rPr>
        <w:t>.</w:t>
      </w:r>
      <w:r w:rsidRPr="00BA3F43">
        <w:rPr>
          <w:rFonts w:asciiTheme="minorHAnsi" w:hAnsiTheme="minorHAnsi"/>
          <w:i/>
        </w:rPr>
        <w:t>I</w:t>
      </w:r>
      <w:r w:rsidR="00BA3F43">
        <w:rPr>
          <w:rFonts w:asciiTheme="minorHAnsi" w:hAnsiTheme="minorHAnsi"/>
          <w:i/>
        </w:rPr>
        <w:t>.</w:t>
      </w:r>
      <w:r w:rsidRPr="00BA3F43">
        <w:rPr>
          <w:rFonts w:asciiTheme="minorHAnsi" w:hAnsiTheme="minorHAnsi"/>
          <w:i/>
        </w:rPr>
        <w:t>).</w:t>
      </w:r>
    </w:p>
    <w:p w:rsidR="00885BE5" w:rsidRPr="00BA3F43" w:rsidRDefault="00885BE5" w:rsidP="00885BE5">
      <w:pPr>
        <w:pStyle w:val="Corpotesto"/>
        <w:rPr>
          <w:rFonts w:asciiTheme="minorHAnsi" w:hAnsiTheme="minorHAnsi"/>
        </w:rPr>
      </w:pPr>
      <w:r w:rsidRPr="00BA3F43">
        <w:rPr>
          <w:rFonts w:asciiTheme="minorHAnsi" w:hAnsiTheme="minorHAnsi"/>
        </w:rPr>
        <w:t xml:space="preserve">9. Concluse le operazioni di valutazione da parte della conferenza dei valutatori, la graduatoria viene formalmente approvata dal Segretario e pubblicizzata. </w:t>
      </w:r>
    </w:p>
    <w:p w:rsidR="00885BE5" w:rsidRPr="00BA3F43" w:rsidRDefault="00885BE5" w:rsidP="00885BE5">
      <w:pPr>
        <w:pStyle w:val="Corpotesto"/>
        <w:rPr>
          <w:rFonts w:asciiTheme="minorHAnsi" w:hAnsiTheme="minorHAnsi"/>
        </w:rPr>
      </w:pPr>
      <w:r w:rsidRPr="00BA3F43">
        <w:rPr>
          <w:rFonts w:asciiTheme="minorHAnsi" w:hAnsiTheme="minorHAnsi"/>
        </w:rPr>
        <w:t>10. Le progressioni economiche sono riconosciute a far data dal 1</w:t>
      </w:r>
      <w:r w:rsidR="00535165">
        <w:rPr>
          <w:rFonts w:asciiTheme="minorHAnsi" w:hAnsiTheme="minorHAnsi"/>
        </w:rPr>
        <w:t>°</w:t>
      </w:r>
      <w:r w:rsidRPr="00BA3F43">
        <w:rPr>
          <w:rFonts w:asciiTheme="minorHAnsi" w:hAnsiTheme="minorHAnsi"/>
        </w:rPr>
        <w:t xml:space="preserve"> gennaio dell’anno in cui viene approvata la graduatoria della selezione effettuata.</w:t>
      </w:r>
    </w:p>
    <w:p w:rsidR="00885BE5" w:rsidRPr="00BA3F43" w:rsidRDefault="00885BE5" w:rsidP="00885BE5">
      <w:pPr>
        <w:pStyle w:val="Titolo4"/>
        <w:rPr>
          <w:rFonts w:asciiTheme="minorHAnsi" w:hAnsiTheme="minorHAnsi"/>
          <w:i w:val="0"/>
          <w:color w:val="auto"/>
        </w:rPr>
      </w:pPr>
      <w:bookmarkStart w:id="5" w:name="_Toc528097873"/>
      <w:r w:rsidRPr="00BA3F43">
        <w:rPr>
          <w:rFonts w:asciiTheme="minorHAnsi" w:hAnsiTheme="minorHAnsi"/>
          <w:i w:val="0"/>
          <w:color w:val="auto"/>
        </w:rPr>
        <w:t>Valutazione dell’esperienza maturata e competenze acquisite</w:t>
      </w:r>
      <w:bookmarkEnd w:id="5"/>
      <w:r w:rsidRPr="00BA3F43">
        <w:rPr>
          <w:rFonts w:asciiTheme="minorHAnsi" w:hAnsiTheme="minorHAnsi"/>
          <w:i w:val="0"/>
          <w:color w:val="auto"/>
        </w:rPr>
        <w:t xml:space="preserve"> </w:t>
      </w:r>
    </w:p>
    <w:p w:rsidR="00885BE5" w:rsidRDefault="00885BE5" w:rsidP="00885BE5">
      <w:pPr>
        <w:jc w:val="both"/>
        <w:rPr>
          <w:rFonts w:asciiTheme="minorHAnsi" w:hAnsiTheme="minorHAnsi"/>
        </w:rPr>
      </w:pPr>
      <w:r w:rsidRPr="00BA3F43">
        <w:rPr>
          <w:rFonts w:asciiTheme="minorHAnsi" w:hAnsiTheme="minorHAnsi"/>
        </w:rPr>
        <w:t>1. La valutazione dell’esperienza maturata negli ambiti professionali di riferimento e delle competenze acquisite e certificate a seguito di processi formativi è effettuata dalla Conferenza dei Valutatori con rifermento ai seguenti fattori:</w:t>
      </w:r>
    </w:p>
    <w:p w:rsidR="00BA3F43" w:rsidRDefault="00BA3F43" w:rsidP="00885BE5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1099"/>
      </w:tblGrid>
      <w:tr w:rsidR="000B0136" w:rsidRPr="000B0136" w:rsidTr="000B0136">
        <w:tc>
          <w:tcPr>
            <w:tcW w:w="8647" w:type="dxa"/>
          </w:tcPr>
          <w:p w:rsidR="000B0136" w:rsidRPr="000B0136" w:rsidRDefault="000B0136" w:rsidP="000B013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B0136">
              <w:rPr>
                <w:rFonts w:asciiTheme="minorHAnsi" w:hAnsiTheme="minorHAnsi"/>
                <w:sz w:val="28"/>
                <w:szCs w:val="28"/>
              </w:rPr>
              <w:t>La media della valutazione riportata negli anni precedenti (</w:t>
            </w:r>
            <w:proofErr w:type="spellStart"/>
            <w:r w:rsidRPr="000B0136">
              <w:rPr>
                <w:rFonts w:asciiTheme="minorHAnsi" w:hAnsiTheme="minorHAnsi"/>
                <w:sz w:val="28"/>
                <w:szCs w:val="28"/>
              </w:rPr>
              <w:t>max</w:t>
            </w:r>
            <w:proofErr w:type="spellEnd"/>
            <w:r w:rsidRPr="000B0136">
              <w:rPr>
                <w:rFonts w:asciiTheme="minorHAnsi" w:hAnsiTheme="minorHAnsi"/>
                <w:sz w:val="28"/>
                <w:szCs w:val="28"/>
              </w:rPr>
              <w:t xml:space="preserve"> 20)</w:t>
            </w:r>
          </w:p>
        </w:tc>
        <w:tc>
          <w:tcPr>
            <w:tcW w:w="1099" w:type="dxa"/>
          </w:tcPr>
          <w:p w:rsidR="000B0136" w:rsidRPr="000B0136" w:rsidRDefault="000B0136" w:rsidP="000B013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B0136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</w:tr>
      <w:tr w:rsidR="000B0136" w:rsidRPr="000B0136" w:rsidTr="000B0136">
        <w:tc>
          <w:tcPr>
            <w:tcW w:w="8647" w:type="dxa"/>
          </w:tcPr>
          <w:p w:rsidR="000B0136" w:rsidRPr="000B0136" w:rsidRDefault="000B0136" w:rsidP="000B013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B0136">
              <w:rPr>
                <w:rFonts w:asciiTheme="minorHAnsi" w:hAnsiTheme="minorHAnsi"/>
                <w:sz w:val="28"/>
                <w:szCs w:val="28"/>
              </w:rPr>
              <w:t>Esperienza maturata (specifica responsabilità – RUP - coordinato)</w:t>
            </w:r>
          </w:p>
        </w:tc>
        <w:tc>
          <w:tcPr>
            <w:tcW w:w="1099" w:type="dxa"/>
          </w:tcPr>
          <w:p w:rsidR="000B0136" w:rsidRPr="000B0136" w:rsidRDefault="000B0136" w:rsidP="000B013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B0136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 w:rsidR="000B0136" w:rsidRPr="000B0136" w:rsidTr="000B0136">
        <w:tc>
          <w:tcPr>
            <w:tcW w:w="8647" w:type="dxa"/>
          </w:tcPr>
          <w:p w:rsidR="000B0136" w:rsidRPr="000B0136" w:rsidRDefault="000B0136" w:rsidP="000B013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B0136">
              <w:rPr>
                <w:rFonts w:asciiTheme="minorHAnsi" w:hAnsiTheme="minorHAnsi"/>
                <w:sz w:val="28"/>
                <w:szCs w:val="28"/>
              </w:rPr>
              <w:t>Eventuali titoli di studio non valutati in precedenza – lingua straniera – uso dell’informatica</w:t>
            </w:r>
          </w:p>
        </w:tc>
        <w:tc>
          <w:tcPr>
            <w:tcW w:w="1099" w:type="dxa"/>
          </w:tcPr>
          <w:p w:rsidR="000B0136" w:rsidRPr="000B0136" w:rsidRDefault="000B0136" w:rsidP="000B0136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B0136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</w:tbl>
    <w:p w:rsidR="00885BE5" w:rsidRPr="000B0136" w:rsidRDefault="00885BE5" w:rsidP="000B0136">
      <w:pPr>
        <w:jc w:val="both"/>
        <w:rPr>
          <w:rFonts w:asciiTheme="minorHAnsi" w:hAnsiTheme="minorHAnsi"/>
        </w:rPr>
      </w:pPr>
    </w:p>
    <w:p w:rsidR="00885BE5" w:rsidRDefault="00885BE5" w:rsidP="00885BE5">
      <w:pPr>
        <w:jc w:val="both"/>
      </w:pPr>
      <w:r>
        <w:t>La Conferenza dei Valutatori certifica, per i dipendenti interessati, le competenze acquisite ed attesta le esperienze maturate assegnando un punteggio che andrà a sommarsi a quello correlato alle risultanze della valutazione.</w:t>
      </w:r>
    </w:p>
    <w:p w:rsidR="00885BE5" w:rsidRDefault="00885BE5" w:rsidP="00885BE5">
      <w:pPr>
        <w:jc w:val="both"/>
      </w:pPr>
    </w:p>
    <w:p w:rsidR="002C6060" w:rsidRDefault="002C6060"/>
    <w:sectPr w:rsidR="002C6060" w:rsidSect="002C606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5A2" w:rsidRDefault="00C445A2" w:rsidP="00BA3F43">
      <w:r>
        <w:separator/>
      </w:r>
    </w:p>
  </w:endnote>
  <w:endnote w:type="continuationSeparator" w:id="0">
    <w:p w:rsidR="00C445A2" w:rsidRDefault="00C445A2" w:rsidP="00BA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23629"/>
      <w:docPartObj>
        <w:docPartGallery w:val="Page Numbers (Bottom of Page)"/>
        <w:docPartUnique/>
      </w:docPartObj>
    </w:sdtPr>
    <w:sdtEndPr/>
    <w:sdtContent>
      <w:p w:rsidR="00BA3F43" w:rsidRDefault="00E75BDC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58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3F43" w:rsidRDefault="00BA3F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5A2" w:rsidRDefault="00C445A2" w:rsidP="00BA3F43">
      <w:r>
        <w:separator/>
      </w:r>
    </w:p>
  </w:footnote>
  <w:footnote w:type="continuationSeparator" w:id="0">
    <w:p w:rsidR="00C445A2" w:rsidRDefault="00C445A2" w:rsidP="00BA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C1131"/>
    <w:multiLevelType w:val="hybridMultilevel"/>
    <w:tmpl w:val="7EFC28CA"/>
    <w:lvl w:ilvl="0" w:tplc="6D501B1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BE5"/>
    <w:rsid w:val="000B0136"/>
    <w:rsid w:val="00190C63"/>
    <w:rsid w:val="0025729F"/>
    <w:rsid w:val="002C6060"/>
    <w:rsid w:val="00535165"/>
    <w:rsid w:val="00885BE5"/>
    <w:rsid w:val="008B4804"/>
    <w:rsid w:val="00976ABF"/>
    <w:rsid w:val="00986ED9"/>
    <w:rsid w:val="00A14D80"/>
    <w:rsid w:val="00B8436D"/>
    <w:rsid w:val="00BA3F43"/>
    <w:rsid w:val="00C445A2"/>
    <w:rsid w:val="00CC3AE6"/>
    <w:rsid w:val="00CC64B5"/>
    <w:rsid w:val="00D35852"/>
    <w:rsid w:val="00E75BDC"/>
    <w:rsid w:val="00E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9372"/>
  <w15:docId w15:val="{40AC93F7-BD12-BE4A-925A-C847D81E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5BE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itolo1">
    <w:name w:val="heading 1"/>
    <w:basedOn w:val="Titolo2"/>
    <w:next w:val="Normale"/>
    <w:link w:val="Titolo1Carattere"/>
    <w:qFormat/>
    <w:rsid w:val="00885BE5"/>
    <w:pPr>
      <w:spacing w:before="360" w:after="360"/>
      <w:outlineLvl w:val="0"/>
    </w:pPr>
  </w:style>
  <w:style w:type="paragraph" w:styleId="Titolo2">
    <w:name w:val="heading 2"/>
    <w:basedOn w:val="Titolo3"/>
    <w:next w:val="Normale"/>
    <w:link w:val="Titolo2Carattere"/>
    <w:semiHidden/>
    <w:unhideWhenUsed/>
    <w:qFormat/>
    <w:rsid w:val="00885BE5"/>
    <w:pPr>
      <w:keepLines w:val="0"/>
      <w:suppressAutoHyphens/>
      <w:autoSpaceDE w:val="0"/>
      <w:autoSpaceDN w:val="0"/>
      <w:adjustRightInd w:val="0"/>
      <w:spacing w:before="240" w:after="240"/>
      <w:jc w:val="center"/>
      <w:outlineLvl w:val="1"/>
    </w:pPr>
    <w:rPr>
      <w:rFonts w:ascii="Cambria" w:eastAsia="Arial Unicode MS" w:hAnsi="Cambria" w:cs="Times New Roman"/>
      <w:bCs w:val="0"/>
      <w:color w:val="auto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85B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85B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5BE5"/>
    <w:rPr>
      <w:rFonts w:ascii="Cambria" w:eastAsia="Arial Unicode MS" w:hAnsi="Cambria" w:cs="Times New Roman"/>
      <w:b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85BE5"/>
    <w:rPr>
      <w:rFonts w:ascii="Cambria" w:eastAsia="Arial Unicode MS" w:hAnsi="Cambria" w:cs="Times New Roman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85B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885BE5"/>
    <w:pPr>
      <w:suppressAutoHyphens/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885BE5"/>
    <w:rPr>
      <w:rFonts w:ascii="Times New Roman" w:eastAsia="Times New Roman" w:hAnsi="Times New Roman" w:cs="Times New Roman"/>
      <w:bCs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885BE5"/>
    <w:pPr>
      <w:suppressAutoHyphens/>
      <w:autoSpaceDE w:val="0"/>
      <w:autoSpaceDN w:val="0"/>
      <w:adjustRightInd w:val="0"/>
      <w:spacing w:before="120" w:after="120" w:line="480" w:lineRule="auto"/>
      <w:jc w:val="both"/>
    </w:pPr>
    <w:rPr>
      <w:rFonts w:ascii="Arial" w:eastAsia="Times New Roman" w:hAnsi="Arial"/>
      <w:bCs/>
      <w:sz w:val="22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885BE5"/>
    <w:rPr>
      <w:rFonts w:ascii="Arial" w:eastAsia="Times New Roman" w:hAnsi="Arial" w:cs="Times New Roman"/>
      <w:bCs/>
      <w:szCs w:val="24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885BE5"/>
    <w:pPr>
      <w:suppressAutoHyphens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/>
      <w:bCs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85BE5"/>
    <w:rPr>
      <w:rFonts w:ascii="Arial" w:eastAsia="Times New Roman" w:hAnsi="Arial" w:cs="Times New Roman"/>
      <w:bCs/>
      <w:sz w:val="16"/>
      <w:szCs w:val="16"/>
      <w:lang w:eastAsia="ar-SA"/>
    </w:rPr>
  </w:style>
  <w:style w:type="paragraph" w:customStyle="1" w:styleId="provvr0">
    <w:name w:val="provv_r0"/>
    <w:basedOn w:val="Normale"/>
    <w:rsid w:val="00885BE5"/>
    <w:pPr>
      <w:suppressAutoHyphens/>
      <w:autoSpaceDE w:val="0"/>
      <w:autoSpaceDN w:val="0"/>
      <w:adjustRightInd w:val="0"/>
      <w:spacing w:before="28" w:after="100" w:line="100" w:lineRule="atLeast"/>
      <w:jc w:val="both"/>
    </w:pPr>
    <w:rPr>
      <w:rFonts w:ascii="Times New Roman" w:eastAsia="Times New Roman" w:hAnsi="Times New Roman"/>
      <w:bCs/>
      <w:color w:val="00000A"/>
      <w:kern w:val="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85B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A3F4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F4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A3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F43"/>
    <w:rPr>
      <w:rFonts w:ascii="Calibri" w:eastAsia="Calibri" w:hAnsi="Calibri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35165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0B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Santo Fabiano</cp:lastModifiedBy>
  <cp:revision>9</cp:revision>
  <dcterms:created xsi:type="dcterms:W3CDTF">2018-11-26T12:51:00Z</dcterms:created>
  <dcterms:modified xsi:type="dcterms:W3CDTF">2018-12-11T07:02:00Z</dcterms:modified>
</cp:coreProperties>
</file>